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0205B6F6" w:rsidR="001220B6" w:rsidRDefault="00796F10" w:rsidP="001220B6">
      <w:pPr>
        <w:spacing w:after="0"/>
      </w:pPr>
      <w:bookmarkStart w:id="0" w:name="_GoBack"/>
      <w:bookmarkEnd w:id="0"/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8E8A05D" wp14:editId="4003F094">
            <wp:simplePos x="0" y="0"/>
            <wp:positionH relativeFrom="column">
              <wp:posOffset>-286247</wp:posOffset>
            </wp:positionH>
            <wp:positionV relativeFrom="paragraph">
              <wp:posOffset>131970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032EB28" w:rsidR="001220B6" w:rsidRPr="0002051B" w:rsidRDefault="001220B6" w:rsidP="001220B6">
      <w:pPr>
        <w:pStyle w:val="ZEmetteur"/>
      </w:pPr>
      <w:r>
        <w:t>Armée de l’Air</w:t>
      </w:r>
      <w:r w:rsidR="00796F10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2E2DDD16" w14:textId="77777777" w:rsidR="00DA5FC4" w:rsidRDefault="00DA5FC4" w:rsidP="00DA5FC4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 ET DELAIS valant ACTE D’ENGAGEMENT</w:t>
      </w:r>
    </w:p>
    <w:p w14:paraId="30875FB2" w14:textId="77777777" w:rsidR="00DA5FC4" w:rsidRDefault="00DA5FC4" w:rsidP="00DA5FC4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27D69B8E" w14:textId="6C3371C3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avionnables </w:t>
      </w:r>
      <w:r w:rsidR="00522779" w:rsidRPr="00CB7263">
        <w:rPr>
          <w:color w:val="0000FF"/>
        </w:rPr>
        <w:t>sur le site de l’AIA Cuers-Pierrefeu</w:t>
      </w:r>
      <w:r>
        <w:rPr>
          <w:color w:val="0000FF"/>
        </w:rPr>
        <w:t xml:space="preserve"> </w:t>
      </w:r>
      <w:r w:rsidR="008949D2">
        <w:rPr>
          <w:color w:val="0000FF"/>
        </w:rPr>
        <w:t xml:space="preserve">(AIA CP) </w:t>
      </w:r>
      <w:r>
        <w:rPr>
          <w:color w:val="0000FF"/>
        </w:rPr>
        <w:t xml:space="preserve">– LOT </w:t>
      </w:r>
      <w:r w:rsidR="00A76F87">
        <w:rPr>
          <w:color w:val="0000FF"/>
        </w:rPr>
        <w:t>3</w:t>
      </w:r>
      <w:r>
        <w:rPr>
          <w:color w:val="0000FF"/>
        </w:rPr>
        <w:t xml:space="preserve"> Confection de </w:t>
      </w:r>
      <w:r w:rsidR="00A76F87">
        <w:rPr>
          <w:color w:val="0000FF"/>
        </w:rPr>
        <w:t>ressorts</w:t>
      </w:r>
    </w:p>
    <w:p w14:paraId="491CFCC6" w14:textId="3EA54918" w:rsidR="004B1B74" w:rsidRDefault="004B1B74" w:rsidP="00522779">
      <w:pPr>
        <w:pStyle w:val="ZEts"/>
      </w:pPr>
    </w:p>
    <w:p w14:paraId="65F1FB74" w14:textId="77777777" w:rsidR="008949D2" w:rsidRPr="00CB7263" w:rsidRDefault="008949D2" w:rsidP="00522779">
      <w:pPr>
        <w:pStyle w:val="ZEts"/>
      </w:pP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CD1586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1C7B07A2" w14:textId="77777777" w:rsidR="00270734" w:rsidRPr="001C3128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1C3128">
              <w:rPr>
                <w:rFonts w:ascii="Marianne" w:hAnsi="Marianne"/>
                <w:u w:val="single"/>
              </w:rPr>
              <w:t>POSTE 10</w:t>
            </w:r>
            <w:r w:rsidRPr="001C3128">
              <w:rPr>
                <w:rFonts w:ascii="Calibri" w:hAnsi="Calibri" w:cs="Calibri"/>
                <w:u w:val="single"/>
              </w:rPr>
              <w:t> </w:t>
            </w:r>
            <w:r w:rsidRPr="001C3128">
              <w:rPr>
                <w:rFonts w:ascii="Marianne" w:hAnsi="Marianne"/>
                <w:u w:val="single"/>
              </w:rPr>
              <w:t>:</w:t>
            </w:r>
          </w:p>
          <w:p w14:paraId="36E08F85" w14:textId="718E9F4A" w:rsidR="00270734" w:rsidRPr="00CB7263" w:rsidRDefault="003517F5" w:rsidP="008949D2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A76F87">
              <w:rPr>
                <w:rFonts w:ascii="Marianne" w:hAnsi="Marianne"/>
                <w:b/>
              </w:rPr>
              <w:t xml:space="preserve">Ressort de maintien avant MR 2600570000120 </w:t>
            </w:r>
            <w:r>
              <w:rPr>
                <w:rFonts w:ascii="Marianne" w:hAnsi="Marianne"/>
              </w:rPr>
              <w:t xml:space="preserve">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8949D2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42620B7D" w:rsidR="00270734" w:rsidRPr="00CB7263" w:rsidRDefault="001C3128" w:rsidP="008949D2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270734" w:rsidRPr="00CB7263" w14:paraId="12DF7860" w14:textId="77777777" w:rsidTr="004B1B74">
        <w:trPr>
          <w:gridAfter w:val="1"/>
          <w:wAfter w:w="6" w:type="dxa"/>
          <w:trHeight w:val="11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A84" w14:textId="77777777" w:rsidR="00270734" w:rsidRPr="001C3128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1C3128">
              <w:rPr>
                <w:rFonts w:ascii="Marianne" w:hAnsi="Marianne"/>
                <w:u w:val="single"/>
              </w:rPr>
              <w:t>POSTE 20</w:t>
            </w:r>
            <w:r w:rsidRPr="001C3128">
              <w:rPr>
                <w:rFonts w:ascii="Calibri" w:hAnsi="Calibri" w:cs="Calibri"/>
                <w:u w:val="single"/>
              </w:rPr>
              <w:t> </w:t>
            </w:r>
            <w:r w:rsidRPr="001C3128">
              <w:rPr>
                <w:rFonts w:ascii="Marianne" w:hAnsi="Marianne"/>
                <w:u w:val="single"/>
              </w:rPr>
              <w:t>:</w:t>
            </w:r>
          </w:p>
          <w:p w14:paraId="03CD968B" w14:textId="13D1D366" w:rsidR="00B3190D" w:rsidRPr="00CB7263" w:rsidRDefault="003517F5" w:rsidP="008949D2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</w:t>
            </w:r>
            <w:r w:rsidR="00C47B4B">
              <w:rPr>
                <w:rFonts w:ascii="Marianne" w:hAnsi="Marianne"/>
              </w:rPr>
              <w:t xml:space="preserve">la </w:t>
            </w:r>
            <w:r w:rsidR="00C47B4B" w:rsidRPr="00796A39">
              <w:rPr>
                <w:rFonts w:ascii="Marianne" w:hAnsi="Marianne"/>
                <w:b/>
              </w:rPr>
              <w:t xml:space="preserve">série </w:t>
            </w:r>
            <w:r w:rsidR="00A76F87">
              <w:rPr>
                <w:rFonts w:ascii="Marianne" w:hAnsi="Marianne"/>
                <w:b/>
              </w:rPr>
              <w:t xml:space="preserve">Ressort de maintien avant MR 2600570000120 </w:t>
            </w:r>
            <w:r>
              <w:rPr>
                <w:rFonts w:ascii="Marianne" w:hAnsi="Marianne"/>
              </w:rPr>
              <w:t xml:space="preserve">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8949D2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D1E" w14:textId="5FE3FDFE" w:rsidR="00270734" w:rsidRPr="00CB7263" w:rsidRDefault="001C3128" w:rsidP="008949D2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</w:t>
            </w:r>
            <w:r w:rsidR="00C47B4B">
              <w:rPr>
                <w:rFonts w:ascii="Marianne" w:hAnsi="Marianne"/>
              </w:rPr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31DA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12D" w14:textId="77777777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6027" w14:textId="3FED39D6" w:rsidR="00270734" w:rsidRPr="00CB7263" w:rsidRDefault="00270734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563" w14:textId="3B41081A" w:rsidR="00270734" w:rsidRPr="00CB7263" w:rsidRDefault="00C47B4B" w:rsidP="008949D2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CD1586" w:rsidRPr="00CB7263" w14:paraId="6C1DE459" w14:textId="77777777" w:rsidTr="00CD1586">
        <w:trPr>
          <w:gridAfter w:val="3"/>
          <w:wAfter w:w="4344" w:type="dxa"/>
          <w:trHeight w:val="488"/>
        </w:trPr>
        <w:tc>
          <w:tcPr>
            <w:tcW w:w="6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08BDC" w14:textId="26038C6C" w:rsidR="00CD1586" w:rsidRPr="00CD1586" w:rsidRDefault="00CD1586" w:rsidP="00CD1586">
            <w:pPr>
              <w:spacing w:before="240" w:after="240"/>
              <w:jc w:val="center"/>
              <w:rPr>
                <w:rFonts w:ascii="Marianne" w:hAnsi="Marianne"/>
                <w:b/>
              </w:rPr>
            </w:pPr>
            <w:r w:rsidRPr="008949D2">
              <w:rPr>
                <w:rFonts w:ascii="Marianne" w:hAnsi="Marianne"/>
                <w:b/>
              </w:rPr>
              <w:t>Total (Postes 10+20)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687" w14:textId="77777777" w:rsidR="00CD1586" w:rsidRPr="00CB7263" w:rsidRDefault="00CD1586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08D" w14:textId="77777777" w:rsidR="00CD1586" w:rsidRPr="00CB7263" w:rsidRDefault="00CD1586" w:rsidP="008949D2">
            <w:pPr>
              <w:spacing w:before="240"/>
              <w:jc w:val="center"/>
              <w:rPr>
                <w:rFonts w:ascii="Marianne" w:hAnsi="Marianne"/>
              </w:rPr>
            </w:pP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3EB38D0E" w14:textId="77777777" w:rsidR="00DA5FC4" w:rsidRDefault="00DA5FC4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25634BD9" w14:textId="77777777" w:rsidR="00DA5FC4" w:rsidRDefault="00DA5FC4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</w:p>
    <w:p w14:paraId="2219B373" w14:textId="09373119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 xml:space="preserve">*  Le délai indiqué pour les postes 10 </w:t>
      </w:r>
      <w:r w:rsidR="008949D2">
        <w:rPr>
          <w:rFonts w:ascii="Marianne" w:hAnsi="Marianne"/>
          <w:i/>
          <w:sz w:val="18"/>
          <w:szCs w:val="18"/>
        </w:rPr>
        <w:t>et</w:t>
      </w:r>
      <w:r w:rsidRPr="00CB7263">
        <w:rPr>
          <w:rFonts w:ascii="Marianne" w:hAnsi="Marianne"/>
          <w:i/>
          <w:sz w:val="18"/>
          <w:szCs w:val="18"/>
        </w:rPr>
        <w:t xml:space="preserve"> </w:t>
      </w:r>
      <w:r w:rsidR="008949D2">
        <w:rPr>
          <w:rFonts w:ascii="Marianne" w:hAnsi="Marianne"/>
          <w:i/>
          <w:sz w:val="18"/>
          <w:szCs w:val="18"/>
        </w:rPr>
        <w:t>2</w:t>
      </w:r>
      <w:r w:rsidRPr="00CB7263">
        <w:rPr>
          <w:rFonts w:ascii="Marianne" w:hAnsi="Marianne"/>
          <w:i/>
          <w:sz w:val="18"/>
          <w:szCs w:val="18"/>
        </w:rPr>
        <w:t>0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712CA2B0" w:rsidR="00874ECA" w:rsidRDefault="00874ECA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43594533" w14:textId="77777777" w:rsidR="00DA5FC4" w:rsidRPr="003573A0" w:rsidRDefault="00DA5FC4" w:rsidP="00DA5FC4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p w14:paraId="776B1143" w14:textId="6D618D69" w:rsidR="00571402" w:rsidRDefault="00571402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527ADD38" w14:textId="4E8592B9" w:rsidR="00DA5FC4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755A93D4" w14:textId="2EE616F1" w:rsidR="00DA5FC4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4C0AD6D2" w14:textId="56E003C4" w:rsidR="00DA5FC4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6AFD48FF" w14:textId="11E653D4" w:rsidR="00DA5FC4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4C2AA2CA" w14:textId="1AB3F0C2" w:rsidR="00DA5FC4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0427FFFF" w14:textId="77777777" w:rsidR="00DA5FC4" w:rsidRPr="00CB7263" w:rsidRDefault="00DA5FC4" w:rsidP="00874ECA">
      <w:pPr>
        <w:spacing w:after="0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977D28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019" w:type="dxa"/>
        <w:tblInd w:w="-998" w:type="dxa"/>
        <w:tblLook w:val="04A0" w:firstRow="1" w:lastRow="0" w:firstColumn="1" w:lastColumn="0" w:noHBand="0" w:noVBand="1"/>
      </w:tblPr>
      <w:tblGrid>
        <w:gridCol w:w="6571"/>
        <w:gridCol w:w="9562"/>
      </w:tblGrid>
      <w:tr w:rsidR="001F60B1" w:rsidRPr="00CB7263" w14:paraId="3A3860D4" w14:textId="77777777" w:rsidTr="00977D28">
        <w:trPr>
          <w:trHeight w:val="4466"/>
        </w:trPr>
        <w:tc>
          <w:tcPr>
            <w:tcW w:w="6571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1E5D477B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A76F87">
              <w:t>010</w:t>
            </w:r>
            <w:r w:rsidR="00710DF7">
              <w:t>/</w:t>
            </w:r>
            <w:r w:rsidRPr="00CB7263">
              <w:t>AIACP/</w:t>
            </w:r>
            <w:r w:rsidR="00710DF7">
              <w:t>DSA du 09/10/2024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448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336" w:type="dxa"/>
              <w:tblLook w:val="04A0" w:firstRow="1" w:lastRow="0" w:firstColumn="1" w:lastColumn="0" w:noHBand="0" w:noVBand="1"/>
            </w:tblPr>
            <w:tblGrid>
              <w:gridCol w:w="4522"/>
              <w:gridCol w:w="4814"/>
            </w:tblGrid>
            <w:tr w:rsidR="00D27DD4" w:rsidRPr="00CB7263" w14:paraId="5713B6D2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814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814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814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814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14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814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977D28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814" w:type="dxa"/>
                </w:tcPr>
                <w:p w14:paraId="1AE37EB7" w14:textId="68FF98DD" w:rsidR="004661E9" w:rsidRPr="004661E9" w:rsidRDefault="00977D28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634B0"/>
    <w:rsid w:val="0006366D"/>
    <w:rsid w:val="00070455"/>
    <w:rsid w:val="00095B5E"/>
    <w:rsid w:val="001220B6"/>
    <w:rsid w:val="001557CF"/>
    <w:rsid w:val="00170AC2"/>
    <w:rsid w:val="001942DB"/>
    <w:rsid w:val="001A547E"/>
    <w:rsid w:val="001B5B74"/>
    <w:rsid w:val="001C3128"/>
    <w:rsid w:val="001F60B1"/>
    <w:rsid w:val="002376EB"/>
    <w:rsid w:val="00263171"/>
    <w:rsid w:val="00270734"/>
    <w:rsid w:val="00273C5D"/>
    <w:rsid w:val="002A78CB"/>
    <w:rsid w:val="002B2107"/>
    <w:rsid w:val="002F4889"/>
    <w:rsid w:val="00302A42"/>
    <w:rsid w:val="00323B28"/>
    <w:rsid w:val="00337FE7"/>
    <w:rsid w:val="00345977"/>
    <w:rsid w:val="003517F5"/>
    <w:rsid w:val="00375522"/>
    <w:rsid w:val="003928FF"/>
    <w:rsid w:val="0044241C"/>
    <w:rsid w:val="004661E9"/>
    <w:rsid w:val="004672DF"/>
    <w:rsid w:val="004B1B74"/>
    <w:rsid w:val="004B7197"/>
    <w:rsid w:val="004D726E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51C16"/>
    <w:rsid w:val="00796A39"/>
    <w:rsid w:val="00796F10"/>
    <w:rsid w:val="007C4A7C"/>
    <w:rsid w:val="007C7B1F"/>
    <w:rsid w:val="007E1068"/>
    <w:rsid w:val="00804891"/>
    <w:rsid w:val="00805BA5"/>
    <w:rsid w:val="008323A2"/>
    <w:rsid w:val="00874ECA"/>
    <w:rsid w:val="008949D2"/>
    <w:rsid w:val="008C0FE6"/>
    <w:rsid w:val="008F0D6D"/>
    <w:rsid w:val="00923523"/>
    <w:rsid w:val="009348D8"/>
    <w:rsid w:val="009368D7"/>
    <w:rsid w:val="00977D28"/>
    <w:rsid w:val="00992D6C"/>
    <w:rsid w:val="009A5F2C"/>
    <w:rsid w:val="009A73FC"/>
    <w:rsid w:val="009A7A89"/>
    <w:rsid w:val="009C7B1D"/>
    <w:rsid w:val="009F4952"/>
    <w:rsid w:val="00A176A7"/>
    <w:rsid w:val="00A76F87"/>
    <w:rsid w:val="00AA4CAF"/>
    <w:rsid w:val="00AB4F53"/>
    <w:rsid w:val="00AB76E2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346EC"/>
    <w:rsid w:val="00C47B4B"/>
    <w:rsid w:val="00C62E57"/>
    <w:rsid w:val="00C64A5F"/>
    <w:rsid w:val="00CB7263"/>
    <w:rsid w:val="00CD1586"/>
    <w:rsid w:val="00D27DD4"/>
    <w:rsid w:val="00D4539F"/>
    <w:rsid w:val="00D6531D"/>
    <w:rsid w:val="00D708F7"/>
    <w:rsid w:val="00DA491E"/>
    <w:rsid w:val="00DA5FC4"/>
    <w:rsid w:val="00DE4D21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50568"/>
    <w:rsid w:val="00F837B6"/>
    <w:rsid w:val="00F9389B"/>
    <w:rsid w:val="00FC08C7"/>
    <w:rsid w:val="00FE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CD685-797A-477C-B895-65DBD57F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9</cp:revision>
  <cp:lastPrinted>2022-05-23T07:41:00Z</cp:lastPrinted>
  <dcterms:created xsi:type="dcterms:W3CDTF">2024-12-02T14:50:00Z</dcterms:created>
  <dcterms:modified xsi:type="dcterms:W3CDTF">2024-12-20T09:35:00Z</dcterms:modified>
</cp:coreProperties>
</file>